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5E" w:rsidRPr="00E16C5E" w:rsidRDefault="00E16C5E" w:rsidP="006B5243">
      <w:pPr>
        <w:rPr>
          <w:b/>
          <w:sz w:val="28"/>
          <w:szCs w:val="28"/>
        </w:rPr>
      </w:pPr>
      <w:r w:rsidRPr="00E16C5E">
        <w:rPr>
          <w:b/>
          <w:sz w:val="28"/>
          <w:szCs w:val="28"/>
        </w:rPr>
        <w:t>Jak klasifikovat inovace podle typu</w:t>
      </w:r>
      <w:r w:rsidR="006B5243">
        <w:rPr>
          <w:b/>
          <w:sz w:val="28"/>
          <w:szCs w:val="28"/>
        </w:rPr>
        <w:t xml:space="preserve"> relevantního DV</w:t>
      </w:r>
    </w:p>
    <w:p w:rsidR="002B6A64" w:rsidRPr="0017278E" w:rsidRDefault="002B6A64" w:rsidP="002B6A64">
      <w:pPr>
        <w:spacing w:before="120"/>
        <w:jc w:val="both"/>
        <w:rPr>
          <w:sz w:val="24"/>
          <w:szCs w:val="24"/>
        </w:rPr>
      </w:pPr>
      <w:r w:rsidRPr="0017278E">
        <w:rPr>
          <w:sz w:val="24"/>
          <w:szCs w:val="24"/>
        </w:rPr>
        <w:t xml:space="preserve">S inovacemi těsně souvisí ochrana duševního vlastnictví (anglicky Intellectual property – IP), zejména vlastnictví průmyslového (označovaná běžně jako tzv. Patentová ochrana, jakkoliv patent je pouze jeden z nástrojů této ochrany. Existuje celá řada klasifikačních systémů pro klasifikaci duševního vlastnictví, v aplikaci InnovationProcessor se vychází při této klasifikaci </w:t>
      </w:r>
      <w:r w:rsidR="0017278E" w:rsidRPr="0017278E">
        <w:rPr>
          <w:rFonts w:asciiTheme="minorHAnsi" w:hAnsiTheme="minorHAnsi" w:cstheme="minorHAnsi"/>
          <w:sz w:val="24"/>
          <w:szCs w:val="24"/>
        </w:rPr>
        <w:t xml:space="preserve">ze systému </w:t>
      </w:r>
      <w:r w:rsidR="0017278E" w:rsidRPr="0017278E">
        <w:rPr>
          <w:rFonts w:asciiTheme="minorHAnsi" w:hAnsiTheme="minorHAnsi" w:cstheme="minorHAnsi"/>
          <w:b/>
          <w:bCs/>
          <w:color w:val="0B2A43"/>
          <w:sz w:val="24"/>
          <w:szCs w:val="24"/>
        </w:rPr>
        <w:t>Cooperative Patent Classification (CPC)</w:t>
      </w:r>
      <w:r w:rsidR="0017278E">
        <w:rPr>
          <w:rFonts w:asciiTheme="minorHAnsi" w:hAnsiTheme="minorHAnsi" w:cstheme="minorHAnsi"/>
          <w:b/>
          <w:bCs/>
          <w:color w:val="0B2A43"/>
          <w:sz w:val="24"/>
          <w:szCs w:val="24"/>
        </w:rPr>
        <w:t xml:space="preserve">, </w:t>
      </w:r>
      <w:r w:rsidR="0017278E" w:rsidRPr="0017278E">
        <w:rPr>
          <w:rFonts w:asciiTheme="minorHAnsi" w:hAnsiTheme="minorHAnsi" w:cstheme="minorHAnsi"/>
          <w:color w:val="0B2A43"/>
          <w:sz w:val="24"/>
          <w:szCs w:val="24"/>
        </w:rPr>
        <w:t>který je rozšířením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 xml:space="preserve"> mezinárodního systému IPC (International Patent Classification) a je administrován společně </w:t>
      </w:r>
      <w:r w:rsidR="00087F81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Evropskou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 xml:space="preserve"> </w:t>
      </w:r>
      <w:r w:rsidR="00087F81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patentovou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 xml:space="preserve"> organizací (Europ</w:t>
      </w:r>
      <w:r w:rsidR="00087F81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e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 xml:space="preserve">an Patent </w:t>
      </w:r>
      <w:r w:rsidR="00087F81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O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rganization EPO) a pate</w:t>
      </w:r>
      <w:r w:rsidR="00087F81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tovým úřadem USA (U</w:t>
      </w:r>
      <w:r w:rsidR="0017278E" w:rsidRP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>S Patent and Trademark Office</w:t>
      </w:r>
      <w:r w:rsidR="0017278E">
        <w:rPr>
          <w:rFonts w:asciiTheme="minorHAnsi" w:hAnsiTheme="minorHAnsi" w:cstheme="minorHAnsi"/>
          <w:color w:val="0B2A43"/>
          <w:sz w:val="24"/>
          <w:szCs w:val="24"/>
          <w:shd w:val="clear" w:color="auto" w:fill="FFFFFF"/>
        </w:rPr>
        <w:t xml:space="preserve">), který </w:t>
      </w:r>
      <w:r w:rsidRPr="0017278E">
        <w:rPr>
          <w:sz w:val="24"/>
          <w:szCs w:val="24"/>
        </w:rPr>
        <w:t xml:space="preserve">používá aplikace Espacenet (viz </w:t>
      </w:r>
      <w:hyperlink r:id="rId5" w:history="1">
        <w:r w:rsidRPr="0017278E">
          <w:rPr>
            <w:rStyle w:val="Hypertextovodkaz"/>
            <w:sz w:val="24"/>
            <w:szCs w:val="24"/>
          </w:rPr>
          <w:t>www.esp</w:t>
        </w:r>
        <w:r w:rsidRPr="0017278E">
          <w:rPr>
            <w:rStyle w:val="Hypertextovodkaz"/>
            <w:sz w:val="24"/>
            <w:szCs w:val="24"/>
          </w:rPr>
          <w:t>a</w:t>
        </w:r>
        <w:r w:rsidRPr="0017278E">
          <w:rPr>
            <w:rStyle w:val="Hypertextovodkaz"/>
            <w:sz w:val="24"/>
            <w:szCs w:val="24"/>
          </w:rPr>
          <w:t>cent.com</w:t>
        </w:r>
      </w:hyperlink>
      <w:r w:rsidRPr="0017278E">
        <w:rPr>
          <w:sz w:val="24"/>
          <w:szCs w:val="24"/>
        </w:rPr>
        <w:t xml:space="preserve">). </w:t>
      </w:r>
    </w:p>
    <w:p w:rsidR="002B6A64" w:rsidRPr="0017278E" w:rsidRDefault="002B6A64" w:rsidP="002B6A64">
      <w:pPr>
        <w:spacing w:before="120" w:after="120"/>
        <w:jc w:val="both"/>
        <w:rPr>
          <w:sz w:val="24"/>
          <w:szCs w:val="24"/>
        </w:rPr>
      </w:pPr>
      <w:r w:rsidRPr="0017278E">
        <w:rPr>
          <w:sz w:val="24"/>
          <w:szCs w:val="24"/>
        </w:rPr>
        <w:t xml:space="preserve">Klasifikace </w:t>
      </w:r>
      <w:r w:rsidR="0017278E" w:rsidRPr="0017278E">
        <w:rPr>
          <w:sz w:val="24"/>
          <w:szCs w:val="24"/>
        </w:rPr>
        <w:t xml:space="preserve">inovačního záměru </w:t>
      </w:r>
      <w:r w:rsidRPr="0017278E">
        <w:rPr>
          <w:sz w:val="24"/>
          <w:szCs w:val="24"/>
        </w:rPr>
        <w:t xml:space="preserve">podle třídníku EPO </w:t>
      </w:r>
      <w:r w:rsidR="0017278E">
        <w:rPr>
          <w:sz w:val="24"/>
          <w:szCs w:val="24"/>
        </w:rPr>
        <w:t xml:space="preserve">(CPC) </w:t>
      </w:r>
      <w:r w:rsidRPr="0017278E">
        <w:rPr>
          <w:sz w:val="24"/>
          <w:szCs w:val="24"/>
        </w:rPr>
        <w:t xml:space="preserve">spočívá v tom, že </w:t>
      </w:r>
      <w:r w:rsidR="0017278E">
        <w:rPr>
          <w:sz w:val="24"/>
          <w:szCs w:val="24"/>
        </w:rPr>
        <w:t xml:space="preserve">se </w:t>
      </w:r>
      <w:r w:rsidRPr="0017278E">
        <w:rPr>
          <w:sz w:val="24"/>
          <w:szCs w:val="24"/>
        </w:rPr>
        <w:t>v aplikaci Espacenet (</w:t>
      </w:r>
      <w:hyperlink r:id="rId6" w:history="1">
        <w:r w:rsidRPr="0017278E">
          <w:rPr>
            <w:rStyle w:val="Hypertextovodkaz"/>
            <w:sz w:val="24"/>
            <w:szCs w:val="24"/>
          </w:rPr>
          <w:t>www.espacenet.com</w:t>
        </w:r>
      </w:hyperlink>
      <w:r w:rsidRPr="0017278E">
        <w:rPr>
          <w:sz w:val="24"/>
          <w:szCs w:val="24"/>
        </w:rPr>
        <w:t xml:space="preserve">) vybere minimálně jeden a maximálně pět kódů, které nejvíce odpovídají danému inovačnímu záměru z hlediska ochrany duševního vlastnictví, a </w:t>
      </w:r>
      <w:r w:rsidRPr="0017278E">
        <w:rPr>
          <w:sz w:val="24"/>
          <w:szCs w:val="24"/>
        </w:rPr>
        <w:t xml:space="preserve">tyto kódy se </w:t>
      </w:r>
      <w:r w:rsidRPr="0017278E">
        <w:rPr>
          <w:sz w:val="24"/>
          <w:szCs w:val="24"/>
        </w:rPr>
        <w:t>zapíš</w:t>
      </w:r>
      <w:r w:rsidRPr="0017278E">
        <w:rPr>
          <w:sz w:val="24"/>
          <w:szCs w:val="24"/>
        </w:rPr>
        <w:t>í</w:t>
      </w:r>
      <w:r w:rsidRPr="0017278E">
        <w:rPr>
          <w:sz w:val="24"/>
          <w:szCs w:val="24"/>
        </w:rPr>
        <w:t xml:space="preserve"> (včetně jejich charakteristik) do tabulky: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399"/>
        <w:gridCol w:w="6992"/>
      </w:tblGrid>
      <w:tr w:rsidR="002B6A64" w:rsidRPr="00DF2725" w:rsidTr="00A14888">
        <w:tc>
          <w:tcPr>
            <w:tcW w:w="8954" w:type="dxa"/>
            <w:gridSpan w:val="3"/>
          </w:tcPr>
          <w:p w:rsidR="002B6A64" w:rsidRPr="00DF2725" w:rsidRDefault="002B6A64" w:rsidP="00A14888">
            <w:pPr>
              <w:jc w:val="center"/>
              <w:rPr>
                <w:b/>
                <w:bCs/>
              </w:rPr>
            </w:pPr>
            <w:r w:rsidRPr="00DF2725">
              <w:rPr>
                <w:b/>
              </w:rPr>
              <w:t>Kódy podle klasifikace EPO</w:t>
            </w:r>
          </w:p>
        </w:tc>
      </w:tr>
      <w:tr w:rsidR="002B6A64" w:rsidRPr="00DF2725" w:rsidTr="00A14888">
        <w:tc>
          <w:tcPr>
            <w:tcW w:w="563" w:type="dxa"/>
            <w:shd w:val="clear" w:color="auto" w:fill="000000" w:themeFill="text1"/>
          </w:tcPr>
          <w:p w:rsidR="002B6A64" w:rsidRPr="00DF2725" w:rsidRDefault="002B6A64" w:rsidP="00A14888"/>
        </w:tc>
        <w:tc>
          <w:tcPr>
            <w:tcW w:w="1399" w:type="dxa"/>
          </w:tcPr>
          <w:p w:rsidR="002B6A64" w:rsidRPr="00DF2725" w:rsidRDefault="002B6A64" w:rsidP="00A14888">
            <w:pPr>
              <w:jc w:val="center"/>
              <w:rPr>
                <w:b/>
                <w:bCs/>
              </w:rPr>
            </w:pPr>
            <w:r w:rsidRPr="00DF2725">
              <w:rPr>
                <w:b/>
              </w:rPr>
              <w:t>KÓD</w:t>
            </w:r>
          </w:p>
        </w:tc>
        <w:tc>
          <w:tcPr>
            <w:tcW w:w="6992" w:type="dxa"/>
          </w:tcPr>
          <w:p w:rsidR="002B6A64" w:rsidRPr="00DF2725" w:rsidRDefault="002B6A64" w:rsidP="00A14888">
            <w:pPr>
              <w:jc w:val="center"/>
              <w:rPr>
                <w:b/>
                <w:bCs/>
              </w:rPr>
            </w:pPr>
            <w:r w:rsidRPr="00DF2725">
              <w:rPr>
                <w:b/>
              </w:rPr>
              <w:t>CHARAKTERISTIKA</w:t>
            </w:r>
          </w:p>
        </w:tc>
      </w:tr>
      <w:tr w:rsidR="002B6A64" w:rsidRPr="00DF2725" w:rsidTr="00A14888">
        <w:tc>
          <w:tcPr>
            <w:tcW w:w="563" w:type="dxa"/>
          </w:tcPr>
          <w:p w:rsidR="002B6A64" w:rsidRPr="00DF2725" w:rsidRDefault="002B6A64" w:rsidP="00A14888">
            <w:r w:rsidRPr="00DF2725">
              <w:t>1.</w:t>
            </w:r>
          </w:p>
        </w:tc>
        <w:tc>
          <w:tcPr>
            <w:tcW w:w="1399" w:type="dxa"/>
          </w:tcPr>
          <w:p w:rsidR="002B6A64" w:rsidRPr="00DF2725" w:rsidRDefault="002B6A64" w:rsidP="00A14888"/>
        </w:tc>
        <w:tc>
          <w:tcPr>
            <w:tcW w:w="6992" w:type="dxa"/>
          </w:tcPr>
          <w:p w:rsidR="002B6A64" w:rsidRPr="00DF2725" w:rsidRDefault="002B6A64" w:rsidP="00A14888"/>
        </w:tc>
      </w:tr>
      <w:tr w:rsidR="002B6A64" w:rsidRPr="00DF2725" w:rsidTr="00A14888">
        <w:tc>
          <w:tcPr>
            <w:tcW w:w="563" w:type="dxa"/>
          </w:tcPr>
          <w:p w:rsidR="002B6A64" w:rsidRPr="00DF2725" w:rsidRDefault="002B6A64" w:rsidP="00A14888">
            <w:r w:rsidRPr="00DF2725">
              <w:t>2.</w:t>
            </w:r>
          </w:p>
        </w:tc>
        <w:tc>
          <w:tcPr>
            <w:tcW w:w="1399" w:type="dxa"/>
          </w:tcPr>
          <w:p w:rsidR="002B6A64" w:rsidRPr="00DF2725" w:rsidRDefault="002B6A64" w:rsidP="00A14888"/>
        </w:tc>
        <w:tc>
          <w:tcPr>
            <w:tcW w:w="6992" w:type="dxa"/>
          </w:tcPr>
          <w:p w:rsidR="002B6A64" w:rsidRPr="00DF2725" w:rsidRDefault="002B6A64" w:rsidP="00A14888"/>
        </w:tc>
      </w:tr>
      <w:tr w:rsidR="002B6A64" w:rsidRPr="00DF2725" w:rsidTr="00A14888">
        <w:tc>
          <w:tcPr>
            <w:tcW w:w="563" w:type="dxa"/>
          </w:tcPr>
          <w:p w:rsidR="002B6A64" w:rsidRPr="00DF2725" w:rsidRDefault="002B6A64" w:rsidP="00A14888">
            <w:r w:rsidRPr="00DF2725">
              <w:t>3.</w:t>
            </w:r>
          </w:p>
        </w:tc>
        <w:tc>
          <w:tcPr>
            <w:tcW w:w="1399" w:type="dxa"/>
          </w:tcPr>
          <w:p w:rsidR="002B6A64" w:rsidRPr="00DF2725" w:rsidRDefault="002B6A64" w:rsidP="00A14888"/>
        </w:tc>
        <w:tc>
          <w:tcPr>
            <w:tcW w:w="6992" w:type="dxa"/>
          </w:tcPr>
          <w:p w:rsidR="002B6A64" w:rsidRPr="00DF2725" w:rsidRDefault="002B6A64" w:rsidP="00A14888"/>
        </w:tc>
      </w:tr>
      <w:tr w:rsidR="002B6A64" w:rsidRPr="00DF2725" w:rsidTr="00A14888">
        <w:tc>
          <w:tcPr>
            <w:tcW w:w="563" w:type="dxa"/>
          </w:tcPr>
          <w:p w:rsidR="002B6A64" w:rsidRPr="00DF2725" w:rsidRDefault="002B6A64" w:rsidP="00A14888">
            <w:r w:rsidRPr="00DF2725">
              <w:t>4.</w:t>
            </w:r>
          </w:p>
        </w:tc>
        <w:tc>
          <w:tcPr>
            <w:tcW w:w="1399" w:type="dxa"/>
          </w:tcPr>
          <w:p w:rsidR="002B6A64" w:rsidRPr="00DF2725" w:rsidRDefault="002B6A64" w:rsidP="00A14888"/>
        </w:tc>
        <w:tc>
          <w:tcPr>
            <w:tcW w:w="6992" w:type="dxa"/>
          </w:tcPr>
          <w:p w:rsidR="002B6A64" w:rsidRPr="00DF2725" w:rsidRDefault="002B6A64" w:rsidP="00A14888"/>
        </w:tc>
      </w:tr>
      <w:tr w:rsidR="002B6A64" w:rsidRPr="00DF2725" w:rsidTr="00A14888">
        <w:tc>
          <w:tcPr>
            <w:tcW w:w="563" w:type="dxa"/>
          </w:tcPr>
          <w:p w:rsidR="002B6A64" w:rsidRPr="00DF2725" w:rsidRDefault="002B6A64" w:rsidP="00A14888">
            <w:r w:rsidRPr="00DF2725">
              <w:t>5.</w:t>
            </w:r>
          </w:p>
        </w:tc>
        <w:tc>
          <w:tcPr>
            <w:tcW w:w="1399" w:type="dxa"/>
          </w:tcPr>
          <w:p w:rsidR="002B6A64" w:rsidRPr="00DF2725" w:rsidRDefault="002B6A64" w:rsidP="00A14888"/>
        </w:tc>
        <w:tc>
          <w:tcPr>
            <w:tcW w:w="6992" w:type="dxa"/>
          </w:tcPr>
          <w:p w:rsidR="002B6A64" w:rsidRPr="00DF2725" w:rsidRDefault="002B6A64" w:rsidP="00A14888"/>
        </w:tc>
      </w:tr>
    </w:tbl>
    <w:p w:rsidR="00E16C5E" w:rsidRPr="006B5243" w:rsidRDefault="0017278E" w:rsidP="0017278E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Klasifikační struktura CPC je sofistikovaná a poměrně složitá, přiřazení vhodných CPC kódů duševnímu vlastnictví (třeba ještě právně neochráněnému) vztahujícímu se k určitému konkrétnímu inovačnímu záměru není proto triviální a vyžaduje určitou zkušenost. V</w:t>
      </w:r>
      <w:r>
        <w:rPr>
          <w:bCs/>
          <w:sz w:val="24"/>
          <w:szCs w:val="24"/>
        </w:rPr>
        <w:t xml:space="preserve">e složitějších případech </w:t>
      </w:r>
      <w:r>
        <w:rPr>
          <w:bCs/>
          <w:sz w:val="24"/>
          <w:szCs w:val="24"/>
        </w:rPr>
        <w:t>se vyplatí se konzultovat zkušené patentové zástupce.</w:t>
      </w:r>
    </w:p>
    <w:sectPr w:rsidR="00E16C5E" w:rsidRPr="006B5243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DB"/>
    <w:rsid w:val="00087F81"/>
    <w:rsid w:val="0017278E"/>
    <w:rsid w:val="00237CA5"/>
    <w:rsid w:val="002B6A64"/>
    <w:rsid w:val="00381CE7"/>
    <w:rsid w:val="006B5243"/>
    <w:rsid w:val="007B6328"/>
    <w:rsid w:val="009348BD"/>
    <w:rsid w:val="00980FCD"/>
    <w:rsid w:val="00AA6CDB"/>
    <w:rsid w:val="00C15404"/>
    <w:rsid w:val="00E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0CAA"/>
  <w15:docId w15:val="{D84AF7AE-84F9-485E-AA26-4944633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A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6A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6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cenet.com" TargetMode="External"/><Relationship Id="rId5" Type="http://schemas.openxmlformats.org/officeDocument/2006/relationships/hyperlink" Target="http://www.espac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5</cp:revision>
  <dcterms:created xsi:type="dcterms:W3CDTF">2019-05-08T18:01:00Z</dcterms:created>
  <dcterms:modified xsi:type="dcterms:W3CDTF">2020-02-19T12:08:00Z</dcterms:modified>
</cp:coreProperties>
</file>